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B3" w:rsidRPr="00340AA9" w:rsidRDefault="00AB3A0A" w:rsidP="00AB3A0A">
      <w:pPr>
        <w:pStyle w:val="Title"/>
        <w:jc w:val="left"/>
        <w:rPr>
          <w:b w:val="0"/>
          <w:color w:val="4F81BD"/>
          <w:sz w:val="28"/>
          <w:szCs w:val="28"/>
          <w:lang/>
        </w:rPr>
      </w:pPr>
      <w:bookmarkStart w:id="0" w:name="_GoBack"/>
      <w:bookmarkStart w:id="1" w:name="_Toc401657161"/>
      <w:bookmarkEnd w:id="0"/>
      <w:r w:rsidRPr="00340AA9">
        <w:rPr>
          <w:b w:val="0"/>
          <w:color w:val="4F81BD"/>
          <w:sz w:val="28"/>
          <w:szCs w:val="28"/>
          <w:lang/>
        </w:rPr>
        <w:t>Saopštenje za javnost: Zakon nije doneo depolitizaciju javnih preduzeća</w:t>
      </w:r>
      <w:bookmarkEnd w:id="1"/>
    </w:p>
    <w:p w:rsidR="00AB3A0A" w:rsidRPr="00AB3A0A" w:rsidRDefault="00AB3A0A" w:rsidP="00AB3A0A">
      <w:pPr>
        <w:rPr>
          <w:lang/>
        </w:rPr>
      </w:pPr>
    </w:p>
    <w:p w:rsidR="000E28B3" w:rsidRPr="00901464" w:rsidRDefault="00AB3A0A" w:rsidP="00AB3A0A">
      <w:pPr>
        <w:jc w:val="both"/>
        <w:rPr>
          <w:bCs/>
          <w:sz w:val="24"/>
          <w:szCs w:val="24"/>
          <w:lang/>
        </w:rPr>
      </w:pPr>
      <w:r>
        <w:rPr>
          <w:bCs/>
          <w:sz w:val="24"/>
          <w:szCs w:val="24"/>
          <w:lang/>
        </w:rPr>
        <w:t>Transparentnost – Srbija (deo Transparency International) objavila je danas nalaze istraživanja o primeni Zakona o javnim preduzećima (2012)</w:t>
      </w:r>
      <w:r w:rsidR="0097254C">
        <w:rPr>
          <w:rStyle w:val="FootnoteReference"/>
          <w:bCs/>
          <w:sz w:val="24"/>
          <w:szCs w:val="24"/>
          <w:lang/>
        </w:rPr>
        <w:footnoteReference w:id="2"/>
      </w:r>
      <w:r>
        <w:rPr>
          <w:bCs/>
          <w:sz w:val="24"/>
          <w:szCs w:val="24"/>
          <w:lang/>
        </w:rPr>
        <w:t xml:space="preserve">. Primenom ovog zakona je </w:t>
      </w:r>
      <w:r w:rsidR="000E28B3" w:rsidRPr="00901464">
        <w:rPr>
          <w:bCs/>
          <w:sz w:val="24"/>
          <w:szCs w:val="24"/>
          <w:lang/>
        </w:rPr>
        <w:t>trebalo da se prekine dugogodišnja praksa korišćenja javnih</w:t>
      </w:r>
      <w:r>
        <w:rPr>
          <w:bCs/>
          <w:sz w:val="24"/>
          <w:szCs w:val="24"/>
          <w:lang/>
        </w:rPr>
        <w:t xml:space="preserve"> preduzeća za stranačke potrebe, kroz primenu načela transparentnosti, profesionalizacije i odgovornosti, ali do toga još uvek nije došlo. </w:t>
      </w:r>
      <w:r w:rsidR="000E28B3" w:rsidRPr="00901464">
        <w:rPr>
          <w:bCs/>
          <w:sz w:val="24"/>
          <w:szCs w:val="24"/>
          <w:lang/>
        </w:rPr>
        <w:t xml:space="preserve"> </w:t>
      </w:r>
    </w:p>
    <w:p w:rsidR="000E28B3" w:rsidRPr="00901464" w:rsidRDefault="000E28B3" w:rsidP="000E28B3">
      <w:pPr>
        <w:jc w:val="both"/>
        <w:rPr>
          <w:bCs/>
          <w:sz w:val="24"/>
          <w:szCs w:val="24"/>
          <w:lang/>
        </w:rPr>
      </w:pPr>
    </w:p>
    <w:p w:rsidR="000E28B3" w:rsidRPr="00901464" w:rsidRDefault="00AB3A0A" w:rsidP="00AB3A0A">
      <w:pPr>
        <w:jc w:val="both"/>
        <w:rPr>
          <w:bCs/>
          <w:sz w:val="24"/>
          <w:szCs w:val="24"/>
          <w:lang/>
        </w:rPr>
      </w:pPr>
      <w:r>
        <w:rPr>
          <w:bCs/>
          <w:sz w:val="24"/>
          <w:szCs w:val="24"/>
          <w:lang/>
        </w:rPr>
        <w:t xml:space="preserve">Istraživanje TS, sprovedeno na uzroku od 25 republičkih, pokrajinskih i lokalnih javnih preduzeća, pokazalo je </w:t>
      </w:r>
      <w:r w:rsidR="000E28B3" w:rsidRPr="00901464">
        <w:rPr>
          <w:bCs/>
          <w:sz w:val="24"/>
          <w:szCs w:val="24"/>
          <w:lang/>
        </w:rPr>
        <w:t>da mnoge odredbe Zakona nisu uopšte primenjene, da su nedostaci</w:t>
      </w:r>
      <w:r>
        <w:rPr>
          <w:bCs/>
          <w:sz w:val="24"/>
          <w:szCs w:val="24"/>
          <w:lang/>
        </w:rPr>
        <w:t xml:space="preserve"> samih</w:t>
      </w:r>
      <w:r w:rsidR="000E28B3" w:rsidRPr="00901464">
        <w:rPr>
          <w:bCs/>
          <w:sz w:val="24"/>
          <w:szCs w:val="24"/>
          <w:lang/>
        </w:rPr>
        <w:t xml:space="preserve"> zakonskih rešenja doveli do očekivanih štetnih efekata, ali da ni primena zakonskih novina nije dovela do prekida sa dugogodišnjom lošom praksom.</w:t>
      </w:r>
    </w:p>
    <w:p w:rsidR="000E28B3" w:rsidRPr="00901464" w:rsidRDefault="000E28B3" w:rsidP="000E28B3">
      <w:pPr>
        <w:jc w:val="both"/>
        <w:rPr>
          <w:bCs/>
          <w:sz w:val="24"/>
          <w:szCs w:val="24"/>
          <w:lang/>
        </w:rPr>
      </w:pPr>
    </w:p>
    <w:p w:rsidR="000E28B3" w:rsidRPr="00901464" w:rsidRDefault="000E28B3" w:rsidP="00AD185D">
      <w:pPr>
        <w:jc w:val="both"/>
        <w:rPr>
          <w:bCs/>
          <w:sz w:val="24"/>
          <w:szCs w:val="24"/>
          <w:lang/>
        </w:rPr>
      </w:pPr>
      <w:r w:rsidRPr="00901464">
        <w:rPr>
          <w:bCs/>
          <w:sz w:val="24"/>
          <w:szCs w:val="24"/>
          <w:lang/>
        </w:rPr>
        <w:t xml:space="preserve">Tako, iako Zakon jasno propisuje da će se konkursi za direktore u svim javnim preduzećima biti raspisani najkasnije do 30. juna 2013. godine, Vlada Srbije je odlučila da ne raspiše konkurse za izbor direktora </w:t>
      </w:r>
      <w:r w:rsidR="00AD185D">
        <w:rPr>
          <w:bCs/>
          <w:sz w:val="24"/>
          <w:szCs w:val="24"/>
          <w:lang/>
        </w:rPr>
        <w:t xml:space="preserve">pet </w:t>
      </w:r>
      <w:r w:rsidRPr="00901464">
        <w:rPr>
          <w:bCs/>
          <w:sz w:val="24"/>
          <w:szCs w:val="24"/>
          <w:lang/>
        </w:rPr>
        <w:t xml:space="preserve">JP </w:t>
      </w:r>
      <w:r w:rsidR="00312D96">
        <w:rPr>
          <w:bCs/>
          <w:sz w:val="24"/>
          <w:szCs w:val="24"/>
          <w:lang/>
        </w:rPr>
        <w:t xml:space="preserve">(u posmatranom uzorku) </w:t>
      </w:r>
      <w:r w:rsidRPr="00901464">
        <w:rPr>
          <w:bCs/>
          <w:sz w:val="24"/>
          <w:szCs w:val="24"/>
          <w:lang/>
        </w:rPr>
        <w:t>u kojima su direktori imenovani pre stupanja na snagu novog Zakona</w:t>
      </w:r>
      <w:r w:rsidRPr="00901464">
        <w:rPr>
          <w:bCs/>
          <w:sz w:val="24"/>
          <w:szCs w:val="24"/>
          <w:vertAlign w:val="superscript"/>
          <w:lang/>
        </w:rPr>
        <w:footnoteReference w:id="3"/>
      </w:r>
      <w:r w:rsidRPr="00901464">
        <w:rPr>
          <w:bCs/>
          <w:sz w:val="24"/>
          <w:szCs w:val="24"/>
          <w:lang/>
        </w:rPr>
        <w:t>.</w:t>
      </w:r>
      <w:r w:rsidR="00AD185D">
        <w:rPr>
          <w:bCs/>
          <w:sz w:val="24"/>
          <w:szCs w:val="24"/>
          <w:lang/>
        </w:rPr>
        <w:t xml:space="preserve"> Od 13 posmatranih republičkih JP, konkursi su u roku raspisani samo u dva slučaja, a više od godinu dana kasnije , samo jedan konkurs je okončan (EPS), što predstavlja najsnažniji dokaz odsustva političke volje da se </w:t>
      </w:r>
      <w:r w:rsidRPr="00901464">
        <w:rPr>
          <w:bCs/>
          <w:sz w:val="24"/>
          <w:szCs w:val="24"/>
          <w:lang/>
        </w:rPr>
        <w:t xml:space="preserve">izaberu direktori koji bi doprineli profesionalizaciji i departizaciji upravljanja u JP. </w:t>
      </w:r>
      <w:r w:rsidR="00BF77B0" w:rsidRPr="00340AA9">
        <w:rPr>
          <w:bCs/>
          <w:sz w:val="24"/>
          <w:szCs w:val="24"/>
          <w:lang/>
        </w:rPr>
        <w:t>Dok se čeka okončanje konkursa</w:t>
      </w:r>
      <w:r w:rsidR="00BF77B0" w:rsidRPr="00901464">
        <w:rPr>
          <w:b/>
          <w:bCs/>
          <w:sz w:val="24"/>
          <w:szCs w:val="24"/>
          <w:lang/>
        </w:rPr>
        <w:t xml:space="preserve">, javnim preduzećima </w:t>
      </w:r>
      <w:r w:rsidR="00BF77B0" w:rsidRPr="00901464">
        <w:rPr>
          <w:bCs/>
          <w:sz w:val="24"/>
          <w:szCs w:val="24"/>
          <w:lang/>
        </w:rPr>
        <w:t>na republičkom nivou</w:t>
      </w:r>
      <w:r w:rsidR="00BF77B0" w:rsidRPr="00901464">
        <w:rPr>
          <w:b/>
          <w:bCs/>
          <w:sz w:val="24"/>
          <w:szCs w:val="24"/>
          <w:lang/>
        </w:rPr>
        <w:t xml:space="preserve"> upravljaju vršioci dužnosti direktora</w:t>
      </w:r>
      <w:r w:rsidR="00BF77B0" w:rsidRPr="00901464">
        <w:rPr>
          <w:bCs/>
          <w:sz w:val="24"/>
          <w:szCs w:val="24"/>
          <w:lang/>
        </w:rPr>
        <w:t xml:space="preserve"> koje je postavila Vlada</w:t>
      </w:r>
      <w:r w:rsidR="00BF77B0">
        <w:rPr>
          <w:bCs/>
          <w:sz w:val="24"/>
          <w:szCs w:val="24"/>
          <w:lang/>
        </w:rPr>
        <w:t xml:space="preserve"> (od kojih je nekima istekao mandat)</w:t>
      </w:r>
      <w:r w:rsidR="00BF77B0" w:rsidRPr="00901464">
        <w:rPr>
          <w:bCs/>
          <w:sz w:val="24"/>
          <w:szCs w:val="24"/>
          <w:lang/>
        </w:rPr>
        <w:t xml:space="preserve">, uz povremene najave političara da će biti zamenjeni (novim vršiocima dužnosti?), u slučaju „lošeg rada“. </w:t>
      </w:r>
      <w:r w:rsidRPr="00901464">
        <w:rPr>
          <w:bCs/>
          <w:sz w:val="24"/>
          <w:szCs w:val="24"/>
          <w:lang/>
        </w:rPr>
        <w:t xml:space="preserve"> </w:t>
      </w:r>
    </w:p>
    <w:p w:rsidR="000E28B3" w:rsidRPr="00901464" w:rsidRDefault="000E28B3" w:rsidP="000E28B3">
      <w:pPr>
        <w:jc w:val="both"/>
        <w:rPr>
          <w:bCs/>
          <w:i/>
          <w:sz w:val="24"/>
          <w:szCs w:val="24"/>
          <w:lang/>
        </w:rPr>
      </w:pPr>
    </w:p>
    <w:p w:rsidR="00897F3C" w:rsidRPr="00901464" w:rsidRDefault="000E28B3" w:rsidP="00897F3C">
      <w:pPr>
        <w:jc w:val="both"/>
        <w:rPr>
          <w:bCs/>
          <w:sz w:val="24"/>
          <w:szCs w:val="24"/>
          <w:lang/>
        </w:rPr>
      </w:pPr>
      <w:r w:rsidRPr="00901464">
        <w:rPr>
          <w:bCs/>
          <w:sz w:val="24"/>
          <w:szCs w:val="24"/>
          <w:lang/>
        </w:rPr>
        <w:t xml:space="preserve">U pokrajinskim i lokalnim JP konkursi su, u većini slučajeva, okončani </w:t>
      </w:r>
      <w:r w:rsidR="00340AA9">
        <w:rPr>
          <w:bCs/>
          <w:sz w:val="24"/>
          <w:szCs w:val="24"/>
          <w:lang/>
        </w:rPr>
        <w:t>u drugoj polovini 2013,</w:t>
      </w:r>
      <w:r w:rsidR="00AD185D">
        <w:rPr>
          <w:bCs/>
          <w:sz w:val="24"/>
          <w:szCs w:val="24"/>
          <w:lang/>
        </w:rPr>
        <w:t xml:space="preserve"> osim u Beogradu, gde su svi konkursi „prethodne vlasti“ bili poništeni i raspisani novi. </w:t>
      </w:r>
      <w:r w:rsidR="00897F3C">
        <w:rPr>
          <w:bCs/>
          <w:sz w:val="24"/>
          <w:szCs w:val="24"/>
          <w:lang/>
        </w:rPr>
        <w:t>D</w:t>
      </w:r>
      <w:r w:rsidR="00897F3C" w:rsidRPr="00901464">
        <w:rPr>
          <w:bCs/>
          <w:sz w:val="24"/>
          <w:szCs w:val="24"/>
          <w:lang/>
        </w:rPr>
        <w:t xml:space="preserve">a novi zakon nije bitno doprineo depolitizaciji javnih preduzeća ni tamo gde su konkursi sprovedeni pokazuje </w:t>
      </w:r>
      <w:r w:rsidR="00897F3C" w:rsidRPr="00901464">
        <w:rPr>
          <w:b/>
          <w:bCs/>
          <w:sz w:val="24"/>
          <w:szCs w:val="24"/>
          <w:lang/>
        </w:rPr>
        <w:t>masovan izbor ranijih vršilaca dužnosti uz jasno identifikovanje njihove partijske pripadnosti</w:t>
      </w:r>
      <w:r w:rsidR="00897F3C" w:rsidRPr="00901464">
        <w:rPr>
          <w:bCs/>
          <w:sz w:val="24"/>
          <w:szCs w:val="24"/>
          <w:lang/>
        </w:rPr>
        <w:t xml:space="preserve"> u lokalnim medijima.</w:t>
      </w:r>
    </w:p>
    <w:p w:rsidR="00AD185D" w:rsidRDefault="00AD185D" w:rsidP="000E28B3">
      <w:pPr>
        <w:jc w:val="both"/>
        <w:rPr>
          <w:bCs/>
          <w:sz w:val="24"/>
          <w:szCs w:val="24"/>
          <w:lang/>
        </w:rPr>
      </w:pPr>
      <w:r>
        <w:rPr>
          <w:bCs/>
          <w:sz w:val="24"/>
          <w:szCs w:val="24"/>
          <w:lang/>
        </w:rPr>
        <w:t xml:space="preserve"> </w:t>
      </w:r>
    </w:p>
    <w:p w:rsidR="00BF77B0" w:rsidRDefault="00340AA9" w:rsidP="00BF77B0">
      <w:pPr>
        <w:jc w:val="both"/>
        <w:rPr>
          <w:bCs/>
          <w:sz w:val="24"/>
          <w:szCs w:val="24"/>
          <w:lang/>
        </w:rPr>
      </w:pPr>
      <w:r>
        <w:rPr>
          <w:bCs/>
          <w:sz w:val="24"/>
          <w:szCs w:val="24"/>
          <w:lang/>
        </w:rPr>
        <w:t xml:space="preserve">Članovi nadzornih odbora su, u odsustvu zakonskog roka, </w:t>
      </w:r>
      <w:r w:rsidR="00BF77B0">
        <w:rPr>
          <w:bCs/>
          <w:sz w:val="24"/>
          <w:szCs w:val="24"/>
          <w:lang/>
        </w:rPr>
        <w:t xml:space="preserve">imenovani i više od godinu dana nakon početka primene Zakona, </w:t>
      </w:r>
      <w:r>
        <w:rPr>
          <w:bCs/>
          <w:sz w:val="24"/>
          <w:szCs w:val="24"/>
          <w:lang/>
        </w:rPr>
        <w:t>ali</w:t>
      </w:r>
      <w:r w:rsidR="00BF77B0">
        <w:rPr>
          <w:bCs/>
          <w:sz w:val="24"/>
          <w:szCs w:val="24"/>
          <w:lang/>
        </w:rPr>
        <w:t xml:space="preserve"> uz</w:t>
      </w:r>
      <w:r>
        <w:rPr>
          <w:bCs/>
          <w:sz w:val="24"/>
          <w:szCs w:val="24"/>
          <w:lang/>
        </w:rPr>
        <w:t xml:space="preserve"> često</w:t>
      </w:r>
      <w:r w:rsidR="00BF77B0">
        <w:rPr>
          <w:bCs/>
          <w:sz w:val="24"/>
          <w:szCs w:val="24"/>
          <w:lang/>
        </w:rPr>
        <w:t xml:space="preserve"> kršenje pravila o izboru „nezavisnog člana“ NO, </w:t>
      </w:r>
      <w:r>
        <w:rPr>
          <w:bCs/>
          <w:sz w:val="24"/>
          <w:szCs w:val="24"/>
          <w:lang/>
        </w:rPr>
        <w:t xml:space="preserve">i </w:t>
      </w:r>
      <w:r w:rsidR="00BF77B0">
        <w:rPr>
          <w:bCs/>
          <w:sz w:val="24"/>
          <w:szCs w:val="24"/>
          <w:lang/>
        </w:rPr>
        <w:t>neobična rešenja o imenovanju predstavnika zaposlenih (imenovanje na predlog direktora, kojeg NO treba kasnije da kontroliše) u brojnim slučajevima.</w:t>
      </w:r>
    </w:p>
    <w:p w:rsidR="000E28B3" w:rsidRPr="00901464" w:rsidRDefault="000E28B3" w:rsidP="000E28B3">
      <w:pPr>
        <w:jc w:val="both"/>
        <w:rPr>
          <w:bCs/>
          <w:sz w:val="24"/>
          <w:szCs w:val="24"/>
          <w:lang/>
        </w:rPr>
      </w:pPr>
    </w:p>
    <w:p w:rsidR="000E28B3" w:rsidRPr="00901464" w:rsidRDefault="000E28B3" w:rsidP="000E28B3">
      <w:pPr>
        <w:jc w:val="both"/>
        <w:rPr>
          <w:bCs/>
          <w:sz w:val="24"/>
          <w:szCs w:val="24"/>
          <w:lang/>
        </w:rPr>
      </w:pPr>
      <w:r w:rsidRPr="00901464">
        <w:rPr>
          <w:bCs/>
          <w:sz w:val="24"/>
          <w:szCs w:val="24"/>
          <w:lang/>
        </w:rPr>
        <w:lastRenderedPageBreak/>
        <w:t>U</w:t>
      </w:r>
      <w:r w:rsidR="00340AA9">
        <w:rPr>
          <w:bCs/>
          <w:sz w:val="24"/>
          <w:szCs w:val="24"/>
          <w:lang/>
        </w:rPr>
        <w:t xml:space="preserve">očeni su visoki troškovi JP na </w:t>
      </w:r>
      <w:r w:rsidRPr="00901464">
        <w:rPr>
          <w:b/>
          <w:bCs/>
          <w:sz w:val="24"/>
          <w:szCs w:val="24"/>
          <w:lang/>
        </w:rPr>
        <w:t>sponzorstva i donacije</w:t>
      </w:r>
      <w:r w:rsidRPr="00901464">
        <w:rPr>
          <w:bCs/>
          <w:sz w:val="24"/>
          <w:szCs w:val="24"/>
          <w:lang/>
        </w:rPr>
        <w:t xml:space="preserve"> kod </w:t>
      </w:r>
      <w:r w:rsidR="00340AA9">
        <w:rPr>
          <w:bCs/>
          <w:sz w:val="24"/>
          <w:szCs w:val="24"/>
          <w:lang/>
        </w:rPr>
        <w:t xml:space="preserve">onih preduzeća </w:t>
      </w:r>
      <w:r w:rsidRPr="00901464">
        <w:rPr>
          <w:bCs/>
          <w:sz w:val="24"/>
          <w:szCs w:val="24"/>
          <w:lang/>
        </w:rPr>
        <w:t>koja podržavaju sportske saveze i reprezentacije, višestruko probijanje planiranih izdataka kod JP koje godinama posluju sa gubitkom, kao i nelogične specifikacije u marketinškim ugovorima. U jednom drastičnom slučaju izdaci za sponozorstva lokalnog JP bili su četiri puta veći od dobiti koje je to preduzeće ostvarilo.</w:t>
      </w:r>
    </w:p>
    <w:p w:rsidR="000E28B3" w:rsidRPr="00901464" w:rsidRDefault="000E28B3" w:rsidP="000E28B3">
      <w:pPr>
        <w:jc w:val="both"/>
        <w:rPr>
          <w:bCs/>
          <w:sz w:val="24"/>
          <w:szCs w:val="24"/>
          <w:lang/>
        </w:rPr>
      </w:pPr>
    </w:p>
    <w:p w:rsidR="000E28B3" w:rsidRPr="00901464" w:rsidRDefault="000E28B3" w:rsidP="000E28B3">
      <w:pPr>
        <w:jc w:val="both"/>
        <w:rPr>
          <w:bCs/>
          <w:sz w:val="24"/>
          <w:szCs w:val="24"/>
          <w:lang/>
        </w:rPr>
      </w:pPr>
      <w:r w:rsidRPr="00901464">
        <w:rPr>
          <w:bCs/>
          <w:sz w:val="24"/>
          <w:szCs w:val="24"/>
          <w:lang/>
        </w:rPr>
        <w:t xml:space="preserve">U pogledu </w:t>
      </w:r>
      <w:r w:rsidRPr="00340AA9">
        <w:rPr>
          <w:b/>
          <w:bCs/>
          <w:sz w:val="24"/>
          <w:szCs w:val="24"/>
          <w:lang/>
        </w:rPr>
        <w:t xml:space="preserve">kontrole rada i odgovornosti </w:t>
      </w:r>
      <w:r w:rsidRPr="00901464">
        <w:rPr>
          <w:bCs/>
          <w:sz w:val="24"/>
          <w:szCs w:val="24"/>
          <w:lang/>
        </w:rPr>
        <w:t xml:space="preserve">JP situacija nije ništa bolja. </w:t>
      </w:r>
      <w:r w:rsidR="00BF77B0">
        <w:rPr>
          <w:bCs/>
          <w:sz w:val="24"/>
          <w:szCs w:val="24"/>
          <w:lang/>
        </w:rPr>
        <w:t>T</w:t>
      </w:r>
      <w:r w:rsidR="00BF77B0" w:rsidRPr="00901464">
        <w:rPr>
          <w:bCs/>
          <w:sz w:val="24"/>
          <w:szCs w:val="24"/>
          <w:lang/>
        </w:rPr>
        <w:t xml:space="preserve">romesečni izveštaji </w:t>
      </w:r>
      <w:r w:rsidR="00BF77B0">
        <w:rPr>
          <w:bCs/>
          <w:sz w:val="24"/>
          <w:szCs w:val="24"/>
          <w:lang/>
        </w:rPr>
        <w:t xml:space="preserve">JP </w:t>
      </w:r>
      <w:r w:rsidR="00BF77B0" w:rsidRPr="00901464">
        <w:rPr>
          <w:bCs/>
          <w:sz w:val="24"/>
          <w:szCs w:val="24"/>
          <w:lang/>
        </w:rPr>
        <w:t xml:space="preserve">se </w:t>
      </w:r>
      <w:r w:rsidR="00BF77B0">
        <w:rPr>
          <w:bCs/>
          <w:sz w:val="24"/>
          <w:szCs w:val="24"/>
          <w:lang/>
        </w:rPr>
        <w:t>sastoje isključivo od tabelarno prikazanih finansijskih pokazatelja</w:t>
      </w:r>
      <w:r w:rsidR="00BF77B0" w:rsidRPr="00901464">
        <w:rPr>
          <w:bCs/>
          <w:sz w:val="24"/>
          <w:szCs w:val="24"/>
          <w:lang/>
        </w:rPr>
        <w:t xml:space="preserve">, </w:t>
      </w:r>
      <w:r w:rsidR="0097254C">
        <w:rPr>
          <w:bCs/>
          <w:sz w:val="24"/>
          <w:szCs w:val="24"/>
          <w:lang/>
        </w:rPr>
        <w:t xml:space="preserve">koji ne omogućavaju donošenje </w:t>
      </w:r>
      <w:r w:rsidR="00BF77B0" w:rsidRPr="00901464">
        <w:rPr>
          <w:bCs/>
          <w:sz w:val="24"/>
          <w:szCs w:val="24"/>
          <w:lang/>
        </w:rPr>
        <w:t>zaključak</w:t>
      </w:r>
      <w:r w:rsidR="0097254C">
        <w:rPr>
          <w:bCs/>
          <w:sz w:val="24"/>
          <w:szCs w:val="24"/>
          <w:lang/>
        </w:rPr>
        <w:t>a</w:t>
      </w:r>
      <w:r w:rsidR="00BF77B0" w:rsidRPr="00901464">
        <w:rPr>
          <w:bCs/>
          <w:sz w:val="24"/>
          <w:szCs w:val="24"/>
          <w:lang/>
        </w:rPr>
        <w:t xml:space="preserve"> o uspešnosti rada menadžmenta i subjektivnoj odgovornosti ili zasluzi za (ne)uspešno poslovanje JP.</w:t>
      </w:r>
      <w:r w:rsidR="0097254C">
        <w:rPr>
          <w:bCs/>
          <w:sz w:val="24"/>
          <w:szCs w:val="24"/>
          <w:lang/>
        </w:rPr>
        <w:t xml:space="preserve"> Čak ni te izveštaje mnoga preduzeća ne objavljuju, pa </w:t>
      </w:r>
      <w:r w:rsidRPr="00901464">
        <w:rPr>
          <w:bCs/>
          <w:sz w:val="24"/>
          <w:szCs w:val="24"/>
          <w:lang/>
        </w:rPr>
        <w:t xml:space="preserve">je nemoguće </w:t>
      </w:r>
      <w:r w:rsidR="00340AA9">
        <w:rPr>
          <w:bCs/>
          <w:sz w:val="24"/>
          <w:szCs w:val="24"/>
          <w:lang/>
        </w:rPr>
        <w:t xml:space="preserve">građanima da ih uporede </w:t>
      </w:r>
      <w:r w:rsidR="0097254C">
        <w:rPr>
          <w:bCs/>
          <w:sz w:val="24"/>
          <w:szCs w:val="24"/>
          <w:lang/>
        </w:rPr>
        <w:t>sa godišnjim programima rada</w:t>
      </w:r>
      <w:r w:rsidRPr="00901464">
        <w:rPr>
          <w:bCs/>
          <w:sz w:val="24"/>
          <w:szCs w:val="24"/>
          <w:lang/>
        </w:rPr>
        <w:t xml:space="preserve">. Istraživanje je pokazalo da postoje </w:t>
      </w:r>
      <w:r w:rsidRPr="00901464">
        <w:rPr>
          <w:b/>
          <w:bCs/>
          <w:sz w:val="24"/>
          <w:szCs w:val="24"/>
          <w:lang/>
        </w:rPr>
        <w:t xml:space="preserve">ozbiljni problemi, </w:t>
      </w:r>
      <w:r w:rsidRPr="00901464">
        <w:rPr>
          <w:bCs/>
          <w:sz w:val="24"/>
          <w:szCs w:val="24"/>
          <w:lang/>
        </w:rPr>
        <w:t xml:space="preserve">ne samo sa sprovođenjem, nego i sa </w:t>
      </w:r>
      <w:r w:rsidRPr="00901464">
        <w:rPr>
          <w:b/>
          <w:bCs/>
          <w:sz w:val="24"/>
          <w:szCs w:val="24"/>
          <w:lang/>
        </w:rPr>
        <w:t>usvajanjem godišnjih programa rada</w:t>
      </w:r>
      <w:r w:rsidRPr="00901464">
        <w:rPr>
          <w:bCs/>
          <w:sz w:val="24"/>
          <w:szCs w:val="24"/>
          <w:lang/>
        </w:rPr>
        <w:t xml:space="preserve">. Prema trenutnim podacima, od 13 republičkih JP koje su obuhvaćene našim uzorkom, za čak pet Vlada do 10. septembra </w:t>
      </w:r>
      <w:r w:rsidRPr="0097254C">
        <w:rPr>
          <w:b/>
          <w:bCs/>
          <w:sz w:val="24"/>
          <w:szCs w:val="24"/>
          <w:lang/>
        </w:rPr>
        <w:t>nije dala saglasnost na programa rada za tekuću</w:t>
      </w:r>
      <w:r w:rsidRPr="00901464">
        <w:rPr>
          <w:bCs/>
          <w:sz w:val="24"/>
          <w:szCs w:val="24"/>
          <w:lang/>
        </w:rPr>
        <w:t>, 2014. godinu (trebalo je da to učini u decembru prošle godine).</w:t>
      </w:r>
    </w:p>
    <w:p w:rsidR="000E28B3" w:rsidRPr="00901464" w:rsidRDefault="000E28B3" w:rsidP="000E28B3">
      <w:pPr>
        <w:jc w:val="both"/>
        <w:rPr>
          <w:bCs/>
          <w:sz w:val="24"/>
          <w:szCs w:val="24"/>
          <w:lang/>
        </w:rPr>
      </w:pPr>
    </w:p>
    <w:p w:rsidR="000E28B3" w:rsidRPr="00901464" w:rsidRDefault="0097254C" w:rsidP="000E28B3">
      <w:pPr>
        <w:jc w:val="both"/>
        <w:rPr>
          <w:bCs/>
          <w:sz w:val="24"/>
          <w:szCs w:val="24"/>
          <w:lang/>
        </w:rPr>
      </w:pPr>
      <w:r>
        <w:rPr>
          <w:bCs/>
          <w:sz w:val="24"/>
          <w:szCs w:val="24"/>
          <w:lang/>
        </w:rPr>
        <w:t xml:space="preserve">Podzakonski akt, kojim je Vlada trebalo da uredi </w:t>
      </w:r>
      <w:r w:rsidR="000E28B3" w:rsidRPr="00901464">
        <w:rPr>
          <w:b/>
          <w:bCs/>
          <w:sz w:val="24"/>
          <w:szCs w:val="24"/>
          <w:lang/>
        </w:rPr>
        <w:t>stimulacije</w:t>
      </w:r>
      <w:r w:rsidR="000E28B3" w:rsidRPr="00901464">
        <w:rPr>
          <w:bCs/>
          <w:sz w:val="24"/>
          <w:szCs w:val="24"/>
          <w:lang/>
        </w:rPr>
        <w:t xml:space="preserve"> za menadžment kada javno preduzeće posluje sa p</w:t>
      </w:r>
      <w:r>
        <w:rPr>
          <w:bCs/>
          <w:sz w:val="24"/>
          <w:szCs w:val="24"/>
          <w:lang/>
        </w:rPr>
        <w:t>ozitivnim poslovnim rezultatima</w:t>
      </w:r>
      <w:r w:rsidR="00340AA9">
        <w:rPr>
          <w:bCs/>
          <w:sz w:val="24"/>
          <w:szCs w:val="24"/>
          <w:lang/>
        </w:rPr>
        <w:t>, i da na taj način podstakne profesionalno upravljanje,</w:t>
      </w:r>
      <w:r>
        <w:rPr>
          <w:bCs/>
          <w:sz w:val="24"/>
          <w:szCs w:val="24"/>
          <w:lang/>
        </w:rPr>
        <w:t xml:space="preserve"> </w:t>
      </w:r>
      <w:r w:rsidRPr="00340AA9">
        <w:rPr>
          <w:b/>
          <w:bCs/>
          <w:sz w:val="24"/>
          <w:szCs w:val="24"/>
          <w:lang/>
        </w:rPr>
        <w:t xml:space="preserve">nije donet </w:t>
      </w:r>
      <w:r>
        <w:rPr>
          <w:bCs/>
          <w:sz w:val="24"/>
          <w:szCs w:val="24"/>
          <w:lang/>
        </w:rPr>
        <w:t xml:space="preserve">ni 21 mesec nakon usvajanja Zakona. </w:t>
      </w:r>
      <w:r w:rsidR="00340AA9">
        <w:rPr>
          <w:bCs/>
          <w:sz w:val="24"/>
          <w:szCs w:val="24"/>
          <w:lang/>
        </w:rPr>
        <w:t>S druge strane, z</w:t>
      </w:r>
      <w:r>
        <w:rPr>
          <w:bCs/>
          <w:sz w:val="24"/>
          <w:szCs w:val="24"/>
          <w:lang/>
        </w:rPr>
        <w:t>abeležen je jedan slučaj razrešenja direktora zbog utvrđene odgovornosti za loše funkcionisanje preduzeća</w:t>
      </w:r>
      <w:r w:rsidR="000E28B3" w:rsidRPr="00901464">
        <w:rPr>
          <w:bCs/>
          <w:sz w:val="24"/>
          <w:szCs w:val="24"/>
          <w:lang/>
        </w:rPr>
        <w:t xml:space="preserve">.   </w:t>
      </w:r>
    </w:p>
    <w:p w:rsidR="000E28B3" w:rsidRPr="00901464" w:rsidRDefault="000E28B3" w:rsidP="000E28B3">
      <w:pPr>
        <w:jc w:val="both"/>
        <w:rPr>
          <w:bCs/>
          <w:sz w:val="24"/>
          <w:szCs w:val="24"/>
          <w:lang/>
        </w:rPr>
      </w:pPr>
    </w:p>
    <w:p w:rsidR="000E28B3" w:rsidRDefault="0097254C" w:rsidP="000E28B3">
      <w:pPr>
        <w:jc w:val="both"/>
        <w:rPr>
          <w:bCs/>
          <w:sz w:val="24"/>
          <w:szCs w:val="24"/>
          <w:lang/>
        </w:rPr>
      </w:pPr>
      <w:r w:rsidRPr="0097254C">
        <w:rPr>
          <w:b/>
          <w:bCs/>
          <w:sz w:val="24"/>
          <w:szCs w:val="24"/>
          <w:lang/>
        </w:rPr>
        <w:t xml:space="preserve">Ni jedno </w:t>
      </w:r>
      <w:r>
        <w:rPr>
          <w:b/>
          <w:bCs/>
          <w:sz w:val="24"/>
          <w:szCs w:val="24"/>
          <w:lang/>
        </w:rPr>
        <w:t xml:space="preserve">preduzeće </w:t>
      </w:r>
      <w:r>
        <w:rPr>
          <w:bCs/>
          <w:sz w:val="24"/>
          <w:szCs w:val="24"/>
          <w:lang/>
        </w:rPr>
        <w:t xml:space="preserve">iz uzorka nije objavilo </w:t>
      </w:r>
      <w:r>
        <w:rPr>
          <w:b/>
          <w:bCs/>
          <w:sz w:val="24"/>
          <w:szCs w:val="24"/>
          <w:lang/>
        </w:rPr>
        <w:t xml:space="preserve">sve obavezne dokumente na svom sajtu </w:t>
      </w:r>
      <w:r w:rsidRPr="0097254C">
        <w:rPr>
          <w:bCs/>
          <w:sz w:val="24"/>
          <w:szCs w:val="24"/>
          <w:lang/>
        </w:rPr>
        <w:t>(</w:t>
      </w:r>
      <w:r w:rsidR="000E28B3" w:rsidRPr="0097254C">
        <w:rPr>
          <w:bCs/>
          <w:sz w:val="24"/>
          <w:szCs w:val="24"/>
          <w:lang/>
        </w:rPr>
        <w:t>godišnji program poslovanja</w:t>
      </w:r>
      <w:r>
        <w:rPr>
          <w:bCs/>
          <w:sz w:val="24"/>
          <w:szCs w:val="24"/>
          <w:lang/>
        </w:rPr>
        <w:t>, tromesečne</w:t>
      </w:r>
      <w:r w:rsidR="000E28B3" w:rsidRPr="0097254C">
        <w:rPr>
          <w:bCs/>
          <w:sz w:val="24"/>
          <w:szCs w:val="24"/>
          <w:lang/>
        </w:rPr>
        <w:t xml:space="preserve"> izveštaje o realizaciji, revidirane </w:t>
      </w:r>
      <w:r>
        <w:rPr>
          <w:bCs/>
          <w:sz w:val="24"/>
          <w:szCs w:val="24"/>
          <w:lang/>
        </w:rPr>
        <w:t>finansijske godišnje izveštaje sa</w:t>
      </w:r>
      <w:r w:rsidR="000E28B3" w:rsidRPr="0097254C">
        <w:rPr>
          <w:bCs/>
          <w:sz w:val="24"/>
          <w:szCs w:val="24"/>
          <w:lang/>
        </w:rPr>
        <w:t xml:space="preserve"> mišljenje</w:t>
      </w:r>
      <w:r>
        <w:rPr>
          <w:bCs/>
          <w:sz w:val="24"/>
          <w:szCs w:val="24"/>
          <w:lang/>
        </w:rPr>
        <w:t>m</w:t>
      </w:r>
      <w:r w:rsidR="000E28B3" w:rsidRPr="0097254C">
        <w:rPr>
          <w:bCs/>
          <w:sz w:val="24"/>
          <w:szCs w:val="24"/>
          <w:lang/>
        </w:rPr>
        <w:t xml:space="preserve"> revizora, sastav i kontakte </w:t>
      </w:r>
      <w:r>
        <w:rPr>
          <w:bCs/>
          <w:sz w:val="24"/>
          <w:szCs w:val="24"/>
          <w:lang/>
        </w:rPr>
        <w:t>NO</w:t>
      </w:r>
      <w:r w:rsidR="000E28B3" w:rsidRPr="0097254C">
        <w:rPr>
          <w:bCs/>
          <w:sz w:val="24"/>
          <w:szCs w:val="24"/>
          <w:lang/>
        </w:rPr>
        <w:t xml:space="preserve"> i direktora. </w:t>
      </w:r>
      <w:r>
        <w:rPr>
          <w:bCs/>
          <w:sz w:val="24"/>
          <w:szCs w:val="24"/>
          <w:lang/>
        </w:rPr>
        <w:t xml:space="preserve">Dodatan problem za transparentnost predstavlja to što Vlada Srbije i Vladina konkursna komisija nisu dostavile tražene podatke o konkursima.  </w:t>
      </w:r>
    </w:p>
    <w:p w:rsidR="0097254C" w:rsidRPr="00901464" w:rsidRDefault="0097254C" w:rsidP="000E28B3">
      <w:pPr>
        <w:jc w:val="both"/>
        <w:rPr>
          <w:bCs/>
          <w:sz w:val="24"/>
          <w:szCs w:val="24"/>
          <w:lang/>
        </w:rPr>
      </w:pPr>
    </w:p>
    <w:p w:rsidR="0097254C" w:rsidRDefault="000E28B3" w:rsidP="000E28B3">
      <w:pPr>
        <w:jc w:val="both"/>
        <w:rPr>
          <w:bCs/>
          <w:sz w:val="24"/>
          <w:szCs w:val="24"/>
          <w:lang/>
        </w:rPr>
      </w:pPr>
      <w:r w:rsidRPr="00901464">
        <w:rPr>
          <w:bCs/>
          <w:sz w:val="24"/>
          <w:szCs w:val="24"/>
          <w:lang/>
        </w:rPr>
        <w:t xml:space="preserve">Iz svega navedenog može se zaključiti da primena Zakona o javnim preduzećima iz 2012, makar za sada, predstavlja jedan od najkrupnijih primera izneverenih obećanja i očekivanja. Neuspesi antikorupcijskih reformi u ovoj oblasti uzrokovani su nedovoljno dobrim zakonskim rešenjima, ali i </w:t>
      </w:r>
      <w:r w:rsidR="00340AA9">
        <w:rPr>
          <w:bCs/>
          <w:sz w:val="24"/>
          <w:szCs w:val="24"/>
          <w:lang/>
        </w:rPr>
        <w:t xml:space="preserve">time što </w:t>
      </w:r>
      <w:r w:rsidRPr="00901464">
        <w:rPr>
          <w:bCs/>
          <w:sz w:val="24"/>
          <w:szCs w:val="24"/>
          <w:lang/>
        </w:rPr>
        <w:t xml:space="preserve">„politička volja“ (ili njeno odsustvo) i dalje imaju premoć nad vladavinom prava. </w:t>
      </w:r>
      <w:r w:rsidR="00340AA9">
        <w:rPr>
          <w:bCs/>
          <w:sz w:val="24"/>
          <w:szCs w:val="24"/>
          <w:lang/>
        </w:rPr>
        <w:t>Transparentnost – Srbija je, na osnovu ovog istraživanja formulisala niz preporuka za promenu propisa i prakse koji su dostavljeni nadležnim ministarstvima i članovima skupštinskih odbora</w:t>
      </w:r>
      <w:r w:rsidR="00340AA9">
        <w:rPr>
          <w:rStyle w:val="FootnoteReference"/>
          <w:bCs/>
          <w:sz w:val="24"/>
          <w:szCs w:val="24"/>
          <w:lang/>
        </w:rPr>
        <w:footnoteReference w:id="4"/>
      </w:r>
      <w:r w:rsidR="00340AA9">
        <w:rPr>
          <w:bCs/>
          <w:sz w:val="24"/>
          <w:szCs w:val="24"/>
          <w:lang/>
        </w:rPr>
        <w:t xml:space="preserve">. </w:t>
      </w:r>
    </w:p>
    <w:p w:rsidR="00340AA9" w:rsidRDefault="00340AA9" w:rsidP="000E28B3">
      <w:pPr>
        <w:jc w:val="both"/>
        <w:rPr>
          <w:bCs/>
          <w:sz w:val="24"/>
          <w:szCs w:val="24"/>
          <w:lang/>
        </w:rPr>
      </w:pPr>
    </w:p>
    <w:p w:rsidR="0097254C" w:rsidRDefault="0097254C" w:rsidP="000E28B3">
      <w:pPr>
        <w:jc w:val="both"/>
        <w:rPr>
          <w:bCs/>
          <w:sz w:val="24"/>
          <w:szCs w:val="24"/>
          <w:lang/>
        </w:rPr>
      </w:pPr>
      <w:r>
        <w:rPr>
          <w:bCs/>
          <w:sz w:val="24"/>
          <w:szCs w:val="24"/>
          <w:lang/>
        </w:rPr>
        <w:t xml:space="preserve">Transparentnost – Srbija </w:t>
      </w:r>
    </w:p>
    <w:p w:rsidR="0097254C" w:rsidRPr="000E28B3" w:rsidRDefault="0097254C" w:rsidP="00340AA9">
      <w:pPr>
        <w:jc w:val="both"/>
      </w:pPr>
      <w:r>
        <w:rPr>
          <w:bCs/>
          <w:sz w:val="24"/>
          <w:szCs w:val="24"/>
          <w:lang/>
        </w:rPr>
        <w:t>Beograd 5.11.2014.</w:t>
      </w:r>
    </w:p>
    <w:sectPr w:rsidR="0097254C" w:rsidRPr="000E28B3" w:rsidSect="00686DFD">
      <w:headerReference w:type="default" r:id="rId8"/>
      <w:footerReference w:type="default" r:id="rId9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73F" w:rsidRDefault="0029373F">
      <w:r>
        <w:separator/>
      </w:r>
    </w:p>
  </w:endnote>
  <w:endnote w:type="continuationSeparator" w:id="1">
    <w:p w:rsidR="0029373F" w:rsidRDefault="00293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Pr="005A4E20" w:rsidRDefault="005A4E20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5A4E20" w:rsidRPr="005A4E20" w:rsidRDefault="004923A7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</w:t>
    </w:r>
    <w:r w:rsidR="00D6180E">
      <w:rPr>
        <w:rFonts w:ascii="Tahoma" w:hAnsi="Tahoma" w:cs="Tahoma"/>
        <w:sz w:val="16"/>
        <w:szCs w:val="16"/>
        <w:lang w:val="sl-SI"/>
      </w:rPr>
      <w:t xml:space="preserve"> organizacije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5A4E20" w:rsidRPr="005A4E20" w:rsidRDefault="005A4E2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 w:rsidR="00D6180E">
      <w:rPr>
        <w:rFonts w:ascii="Tahoma" w:hAnsi="Tahoma" w:cs="Tahoma"/>
        <w:sz w:val="16"/>
        <w:szCs w:val="16"/>
        <w:lang w:val="sl-SI"/>
      </w:rPr>
      <w:t>u Republici Srbiji</w:t>
    </w:r>
  </w:p>
  <w:p w:rsidR="005A4E20" w:rsidRDefault="00EE7D76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="00894B45"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894B45" w:rsidRPr="005A4E20" w:rsidRDefault="00894B45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73F" w:rsidRDefault="0029373F">
      <w:r>
        <w:separator/>
      </w:r>
    </w:p>
  </w:footnote>
  <w:footnote w:type="continuationSeparator" w:id="1">
    <w:p w:rsidR="0029373F" w:rsidRDefault="0029373F">
      <w:r>
        <w:continuationSeparator/>
      </w:r>
    </w:p>
  </w:footnote>
  <w:footnote w:id="2">
    <w:p w:rsidR="0097254C" w:rsidRPr="0097254C" w:rsidRDefault="0097254C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>
        <w:rPr>
          <w:lang/>
        </w:rPr>
        <w:t xml:space="preserve">Istraživanje je sprovedeno uz podršku Ministarstva spoljnih poslova Kraljevine Holandije. Svi izloženi stavovi i mišljenja pripadaju isključivo TS. </w:t>
      </w:r>
    </w:p>
  </w:footnote>
  <w:footnote w:id="3">
    <w:p w:rsidR="000E28B3" w:rsidRPr="00CD7486" w:rsidRDefault="000E28B3" w:rsidP="000E28B3">
      <w:pPr>
        <w:pStyle w:val="FootnoteText"/>
        <w:jc w:val="both"/>
        <w:rPr>
          <w:b/>
          <w:lang/>
        </w:rPr>
      </w:pPr>
      <w:r w:rsidRPr="00CD7486">
        <w:rPr>
          <w:rStyle w:val="FootnoteReference"/>
          <w:lang/>
        </w:rPr>
        <w:footnoteRef/>
      </w:r>
      <w:r w:rsidRPr="00CD7486">
        <w:rPr>
          <w:lang/>
        </w:rPr>
        <w:t xml:space="preserve"> </w:t>
      </w:r>
      <w:r w:rsidRPr="00CD7486">
        <w:rPr>
          <w:b/>
          <w:lang/>
        </w:rPr>
        <w:t>JP Srbijagas</w:t>
      </w:r>
      <w:r w:rsidR="00AD185D">
        <w:rPr>
          <w:b/>
          <w:lang/>
        </w:rPr>
        <w:t xml:space="preserve">, </w:t>
      </w:r>
      <w:r w:rsidRPr="00CD7486">
        <w:rPr>
          <w:b/>
          <w:bCs/>
          <w:lang/>
        </w:rPr>
        <w:t>JP Srbijašume</w:t>
      </w:r>
      <w:r w:rsidR="00AD185D">
        <w:rPr>
          <w:b/>
          <w:bCs/>
          <w:lang/>
        </w:rPr>
        <w:t xml:space="preserve">, </w:t>
      </w:r>
      <w:r w:rsidRPr="00CD7486">
        <w:rPr>
          <w:b/>
          <w:lang/>
        </w:rPr>
        <w:t>JP Srbijavode</w:t>
      </w:r>
      <w:r w:rsidR="00AD185D">
        <w:rPr>
          <w:b/>
          <w:lang/>
        </w:rPr>
        <w:t xml:space="preserve">, </w:t>
      </w:r>
      <w:r w:rsidRPr="00CD7486">
        <w:rPr>
          <w:b/>
          <w:lang/>
        </w:rPr>
        <w:t>JP Elektromreža Srbije</w:t>
      </w:r>
      <w:r w:rsidR="00AD185D">
        <w:rPr>
          <w:b/>
          <w:lang/>
        </w:rPr>
        <w:t xml:space="preserve">, </w:t>
      </w:r>
      <w:r w:rsidRPr="00CD7486">
        <w:rPr>
          <w:b/>
          <w:lang/>
        </w:rPr>
        <w:t>JP Pošta Srbije</w:t>
      </w:r>
      <w:r w:rsidR="00AD185D">
        <w:rPr>
          <w:b/>
          <w:lang/>
        </w:rPr>
        <w:t>.</w:t>
      </w:r>
    </w:p>
    <w:p w:rsidR="000E28B3" w:rsidRPr="00CD7486" w:rsidRDefault="000E28B3" w:rsidP="000E28B3">
      <w:pPr>
        <w:pStyle w:val="FootnoteText"/>
        <w:rPr>
          <w:lang/>
        </w:rPr>
      </w:pPr>
    </w:p>
  </w:footnote>
  <w:footnote w:id="4">
    <w:p w:rsidR="00340AA9" w:rsidRPr="00340AA9" w:rsidRDefault="00340AA9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 w:rsidR="00447E81">
        <w:t>Nalazi i</w:t>
      </w:r>
      <w:r w:rsidR="00447E81">
        <w:rPr>
          <w:lang/>
        </w:rPr>
        <w:t>straživanja i preporuke se mogu preuzeti kao elektronska publikacija na adresi:</w:t>
      </w:r>
      <w:r>
        <w:rPr>
          <w:lang/>
        </w:rPr>
        <w:t xml:space="preserve"> </w:t>
      </w:r>
      <w:r w:rsidRPr="00340AA9">
        <w:rPr>
          <w:lang/>
        </w:rPr>
        <w:t>http://www.transparentnost.org.rs/images/stories/inicijativeianalize/Efekti%20novog%20Zakona%20o%20javnim%20preduzecima-politizacija%20ili%20profesionalizacija,%20oktobar%202014.pdf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Default="00EE7D76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EE7D76">
      <w:rPr>
        <w:rFonts w:ascii="Arial" w:hAnsi="Arial" w:cs="Arial"/>
        <w:b/>
        <w:i/>
        <w:caps/>
        <w:noProof/>
        <w:sz w:val="28"/>
        <w:szCs w:val="28"/>
        <w:lang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207pt;margin-top:.6pt;width:225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" filled="f" strokecolor="white" strokeweight="0">
          <v:textbox>
            <w:txbxContent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</w:t>
                </w:r>
                <w:r w:rsidR="00B4653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5A4E20" w:rsidRPr="005A4E20" w:rsidRDefault="00894B45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       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Telefon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78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05</w:t>
                </w:r>
              </w:p>
              <w:p w:rsidR="005A4E20" w:rsidRPr="005A4E20" w:rsidRDefault="00C5579D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hyperlink r:id="rId1" w:history="1">
                  <w:r w:rsidR="00FA0752"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D86777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E20" w:rsidRPr="00327589" w:rsidRDefault="004923A7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5A4E20" w:rsidRPr="00327589" w:rsidRDefault="004923A7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5A4E20" w:rsidRPr="00327589" w:rsidRDefault="005A4E20" w:rsidP="005A4E20">
    <w:pPr>
      <w:rPr>
        <w:b/>
      </w:rPr>
    </w:pPr>
  </w:p>
  <w:p w:rsidR="005A4E20" w:rsidRDefault="005A4E20" w:rsidP="005A4E20">
    <w:pPr>
      <w:pStyle w:val="Header"/>
    </w:pPr>
  </w:p>
  <w:p w:rsidR="005A4E20" w:rsidRPr="005A4E20" w:rsidRDefault="005A4E2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stylePaneFormatFilter w:val="3F01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21344"/>
    <w:rsid w:val="000459BF"/>
    <w:rsid w:val="0005126A"/>
    <w:rsid w:val="000705E7"/>
    <w:rsid w:val="0009480A"/>
    <w:rsid w:val="00094829"/>
    <w:rsid w:val="00096DB3"/>
    <w:rsid w:val="000A0DD7"/>
    <w:rsid w:val="000A6379"/>
    <w:rsid w:val="000B4CF3"/>
    <w:rsid w:val="000C3237"/>
    <w:rsid w:val="000E06BE"/>
    <w:rsid w:val="000E0EC5"/>
    <w:rsid w:val="000E28B3"/>
    <w:rsid w:val="000F0F38"/>
    <w:rsid w:val="000F1683"/>
    <w:rsid w:val="00104CA4"/>
    <w:rsid w:val="00115F36"/>
    <w:rsid w:val="00122FAA"/>
    <w:rsid w:val="00174B43"/>
    <w:rsid w:val="00176E7C"/>
    <w:rsid w:val="00191AE6"/>
    <w:rsid w:val="001A336F"/>
    <w:rsid w:val="001A5EE9"/>
    <w:rsid w:val="001B7479"/>
    <w:rsid w:val="001D3752"/>
    <w:rsid w:val="001E6A95"/>
    <w:rsid w:val="001E78B4"/>
    <w:rsid w:val="00206150"/>
    <w:rsid w:val="00206DB4"/>
    <w:rsid w:val="00211122"/>
    <w:rsid w:val="00216F79"/>
    <w:rsid w:val="00220275"/>
    <w:rsid w:val="002203E1"/>
    <w:rsid w:val="002221C8"/>
    <w:rsid w:val="00226C03"/>
    <w:rsid w:val="00235D71"/>
    <w:rsid w:val="0023605C"/>
    <w:rsid w:val="00246C49"/>
    <w:rsid w:val="00250666"/>
    <w:rsid w:val="00254FCE"/>
    <w:rsid w:val="002557B9"/>
    <w:rsid w:val="002613A5"/>
    <w:rsid w:val="00263676"/>
    <w:rsid w:val="002831ED"/>
    <w:rsid w:val="00283CB7"/>
    <w:rsid w:val="0029373F"/>
    <w:rsid w:val="002B05EB"/>
    <w:rsid w:val="002B296E"/>
    <w:rsid w:val="002B5DD8"/>
    <w:rsid w:val="002D1C16"/>
    <w:rsid w:val="002E4293"/>
    <w:rsid w:val="002F70D8"/>
    <w:rsid w:val="00301C8F"/>
    <w:rsid w:val="003037B4"/>
    <w:rsid w:val="003055AF"/>
    <w:rsid w:val="00312D96"/>
    <w:rsid w:val="00316525"/>
    <w:rsid w:val="00321827"/>
    <w:rsid w:val="00340AA9"/>
    <w:rsid w:val="003429EF"/>
    <w:rsid w:val="0036230D"/>
    <w:rsid w:val="0036574C"/>
    <w:rsid w:val="00366FAE"/>
    <w:rsid w:val="00391055"/>
    <w:rsid w:val="003A4299"/>
    <w:rsid w:val="003C2910"/>
    <w:rsid w:val="003C3BFF"/>
    <w:rsid w:val="003C7871"/>
    <w:rsid w:val="003C7E49"/>
    <w:rsid w:val="003D1BFE"/>
    <w:rsid w:val="003D3730"/>
    <w:rsid w:val="003D58FC"/>
    <w:rsid w:val="003E0A5B"/>
    <w:rsid w:val="003E26EF"/>
    <w:rsid w:val="003E6150"/>
    <w:rsid w:val="003F3A6C"/>
    <w:rsid w:val="003F5DA1"/>
    <w:rsid w:val="003F7B9E"/>
    <w:rsid w:val="004076A5"/>
    <w:rsid w:val="00447E81"/>
    <w:rsid w:val="004709E9"/>
    <w:rsid w:val="00475EBE"/>
    <w:rsid w:val="004923A7"/>
    <w:rsid w:val="004B1843"/>
    <w:rsid w:val="004B1AA0"/>
    <w:rsid w:val="004B6A19"/>
    <w:rsid w:val="004F234B"/>
    <w:rsid w:val="00502BB8"/>
    <w:rsid w:val="00504988"/>
    <w:rsid w:val="00505382"/>
    <w:rsid w:val="00520AE6"/>
    <w:rsid w:val="00531EC1"/>
    <w:rsid w:val="00532ED2"/>
    <w:rsid w:val="005334CC"/>
    <w:rsid w:val="00533F70"/>
    <w:rsid w:val="005452CC"/>
    <w:rsid w:val="0055049C"/>
    <w:rsid w:val="00572CD1"/>
    <w:rsid w:val="00574A7E"/>
    <w:rsid w:val="00576656"/>
    <w:rsid w:val="005A0FE6"/>
    <w:rsid w:val="005A4E20"/>
    <w:rsid w:val="005B29BD"/>
    <w:rsid w:val="005C447F"/>
    <w:rsid w:val="005C4990"/>
    <w:rsid w:val="005C58E0"/>
    <w:rsid w:val="005F2123"/>
    <w:rsid w:val="005F5817"/>
    <w:rsid w:val="00600484"/>
    <w:rsid w:val="00601452"/>
    <w:rsid w:val="00602008"/>
    <w:rsid w:val="00621335"/>
    <w:rsid w:val="00630B19"/>
    <w:rsid w:val="00632651"/>
    <w:rsid w:val="006333E8"/>
    <w:rsid w:val="00636BE2"/>
    <w:rsid w:val="0063797E"/>
    <w:rsid w:val="006454D8"/>
    <w:rsid w:val="006511BF"/>
    <w:rsid w:val="00652691"/>
    <w:rsid w:val="00664697"/>
    <w:rsid w:val="006715D6"/>
    <w:rsid w:val="006863B5"/>
    <w:rsid w:val="00686DFD"/>
    <w:rsid w:val="006C0810"/>
    <w:rsid w:val="006D1744"/>
    <w:rsid w:val="006E32F2"/>
    <w:rsid w:val="006F63BD"/>
    <w:rsid w:val="0072082E"/>
    <w:rsid w:val="00722E45"/>
    <w:rsid w:val="00724909"/>
    <w:rsid w:val="00751758"/>
    <w:rsid w:val="00757F8E"/>
    <w:rsid w:val="00763FD0"/>
    <w:rsid w:val="00775FC1"/>
    <w:rsid w:val="007834CB"/>
    <w:rsid w:val="0078420A"/>
    <w:rsid w:val="007846BB"/>
    <w:rsid w:val="007A074F"/>
    <w:rsid w:val="007B072C"/>
    <w:rsid w:val="007C02B9"/>
    <w:rsid w:val="007C0FB2"/>
    <w:rsid w:val="007C1DA0"/>
    <w:rsid w:val="007C4117"/>
    <w:rsid w:val="007E5C34"/>
    <w:rsid w:val="007F1EC7"/>
    <w:rsid w:val="00816164"/>
    <w:rsid w:val="00823C32"/>
    <w:rsid w:val="00826577"/>
    <w:rsid w:val="00843264"/>
    <w:rsid w:val="0085008C"/>
    <w:rsid w:val="008572E4"/>
    <w:rsid w:val="0086026F"/>
    <w:rsid w:val="00864D0B"/>
    <w:rsid w:val="00881A2D"/>
    <w:rsid w:val="00894B45"/>
    <w:rsid w:val="00897F3C"/>
    <w:rsid w:val="008A5977"/>
    <w:rsid w:val="008C1CA5"/>
    <w:rsid w:val="008D62AD"/>
    <w:rsid w:val="008D6944"/>
    <w:rsid w:val="008E2E83"/>
    <w:rsid w:val="008E6195"/>
    <w:rsid w:val="008F0C15"/>
    <w:rsid w:val="009208B0"/>
    <w:rsid w:val="00932A0B"/>
    <w:rsid w:val="009339CF"/>
    <w:rsid w:val="00933E8A"/>
    <w:rsid w:val="00954BD8"/>
    <w:rsid w:val="00956F51"/>
    <w:rsid w:val="0097254C"/>
    <w:rsid w:val="00973EC2"/>
    <w:rsid w:val="00977BDF"/>
    <w:rsid w:val="009835DC"/>
    <w:rsid w:val="00990609"/>
    <w:rsid w:val="009B21B8"/>
    <w:rsid w:val="009B64E3"/>
    <w:rsid w:val="009C22EE"/>
    <w:rsid w:val="009C3658"/>
    <w:rsid w:val="009C6383"/>
    <w:rsid w:val="009D06CB"/>
    <w:rsid w:val="009E7F8F"/>
    <w:rsid w:val="00A12BBF"/>
    <w:rsid w:val="00A20FAA"/>
    <w:rsid w:val="00A47E55"/>
    <w:rsid w:val="00A640C2"/>
    <w:rsid w:val="00A6795C"/>
    <w:rsid w:val="00A82CD4"/>
    <w:rsid w:val="00A91661"/>
    <w:rsid w:val="00A930A4"/>
    <w:rsid w:val="00A94592"/>
    <w:rsid w:val="00AA447C"/>
    <w:rsid w:val="00AA6DC6"/>
    <w:rsid w:val="00AB2094"/>
    <w:rsid w:val="00AB3A0A"/>
    <w:rsid w:val="00AB3EDC"/>
    <w:rsid w:val="00AC319C"/>
    <w:rsid w:val="00AD185D"/>
    <w:rsid w:val="00AD25BD"/>
    <w:rsid w:val="00AE1E51"/>
    <w:rsid w:val="00AF16A9"/>
    <w:rsid w:val="00AF2058"/>
    <w:rsid w:val="00AF35C1"/>
    <w:rsid w:val="00B00F03"/>
    <w:rsid w:val="00B065A1"/>
    <w:rsid w:val="00B163BE"/>
    <w:rsid w:val="00B2027F"/>
    <w:rsid w:val="00B33BDC"/>
    <w:rsid w:val="00B411CA"/>
    <w:rsid w:val="00B4653C"/>
    <w:rsid w:val="00B530C0"/>
    <w:rsid w:val="00B56320"/>
    <w:rsid w:val="00B61664"/>
    <w:rsid w:val="00B70218"/>
    <w:rsid w:val="00B71987"/>
    <w:rsid w:val="00B7238D"/>
    <w:rsid w:val="00B768EB"/>
    <w:rsid w:val="00B80C48"/>
    <w:rsid w:val="00B92C05"/>
    <w:rsid w:val="00B95A38"/>
    <w:rsid w:val="00B9786A"/>
    <w:rsid w:val="00BA08A6"/>
    <w:rsid w:val="00BA2EB8"/>
    <w:rsid w:val="00BB7BC0"/>
    <w:rsid w:val="00BC0135"/>
    <w:rsid w:val="00BC757A"/>
    <w:rsid w:val="00BD5148"/>
    <w:rsid w:val="00BE47B0"/>
    <w:rsid w:val="00BF2454"/>
    <w:rsid w:val="00BF77B0"/>
    <w:rsid w:val="00C14486"/>
    <w:rsid w:val="00C4772B"/>
    <w:rsid w:val="00C5579D"/>
    <w:rsid w:val="00C833CC"/>
    <w:rsid w:val="00C949F8"/>
    <w:rsid w:val="00CA397F"/>
    <w:rsid w:val="00CB3A62"/>
    <w:rsid w:val="00CB409A"/>
    <w:rsid w:val="00CD4422"/>
    <w:rsid w:val="00CF0526"/>
    <w:rsid w:val="00CF20A1"/>
    <w:rsid w:val="00D249D0"/>
    <w:rsid w:val="00D433B5"/>
    <w:rsid w:val="00D45431"/>
    <w:rsid w:val="00D4630F"/>
    <w:rsid w:val="00D51D76"/>
    <w:rsid w:val="00D57133"/>
    <w:rsid w:val="00D6180E"/>
    <w:rsid w:val="00D6503B"/>
    <w:rsid w:val="00D8622F"/>
    <w:rsid w:val="00D86777"/>
    <w:rsid w:val="00D972EE"/>
    <w:rsid w:val="00DB0BD0"/>
    <w:rsid w:val="00DB3CEE"/>
    <w:rsid w:val="00DC1F8E"/>
    <w:rsid w:val="00DC45C6"/>
    <w:rsid w:val="00DC52BD"/>
    <w:rsid w:val="00DC773E"/>
    <w:rsid w:val="00DC7D8E"/>
    <w:rsid w:val="00DE219B"/>
    <w:rsid w:val="00DE4D3C"/>
    <w:rsid w:val="00DF1335"/>
    <w:rsid w:val="00DF1F83"/>
    <w:rsid w:val="00DF31C1"/>
    <w:rsid w:val="00DF5DF9"/>
    <w:rsid w:val="00E035F6"/>
    <w:rsid w:val="00E307DA"/>
    <w:rsid w:val="00E35FF4"/>
    <w:rsid w:val="00E36156"/>
    <w:rsid w:val="00E436AE"/>
    <w:rsid w:val="00E473D5"/>
    <w:rsid w:val="00E523D6"/>
    <w:rsid w:val="00EA54C2"/>
    <w:rsid w:val="00EB1D48"/>
    <w:rsid w:val="00ED12CB"/>
    <w:rsid w:val="00EE23B7"/>
    <w:rsid w:val="00EE69C6"/>
    <w:rsid w:val="00EE6A9F"/>
    <w:rsid w:val="00EE7D76"/>
    <w:rsid w:val="00EF4383"/>
    <w:rsid w:val="00EF4A76"/>
    <w:rsid w:val="00F025BD"/>
    <w:rsid w:val="00F07D94"/>
    <w:rsid w:val="00F27450"/>
    <w:rsid w:val="00F336FD"/>
    <w:rsid w:val="00F345CB"/>
    <w:rsid w:val="00F44D3B"/>
    <w:rsid w:val="00F47F06"/>
    <w:rsid w:val="00F54E4E"/>
    <w:rsid w:val="00F55945"/>
    <w:rsid w:val="00F55D8C"/>
    <w:rsid w:val="00F64277"/>
    <w:rsid w:val="00F813D0"/>
    <w:rsid w:val="00F8433E"/>
    <w:rsid w:val="00F931AB"/>
    <w:rsid w:val="00F935B5"/>
    <w:rsid w:val="00FA0752"/>
    <w:rsid w:val="00FA354F"/>
    <w:rsid w:val="00FA5624"/>
    <w:rsid w:val="00FB1D31"/>
    <w:rsid w:val="00FC4EFC"/>
    <w:rsid w:val="00FC5CB7"/>
    <w:rsid w:val="00FE048B"/>
    <w:rsid w:val="00FE3643"/>
    <w:rsid w:val="00FF2E20"/>
    <w:rsid w:val="00FF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paragraph" w:styleId="Heading6">
    <w:name w:val="heading 6"/>
    <w:basedOn w:val="Normal"/>
    <w:link w:val="Heading6Char"/>
    <w:uiPriority w:val="9"/>
    <w:qFormat/>
    <w:rsid w:val="00DB0BD0"/>
    <w:pPr>
      <w:suppressAutoHyphens w:val="0"/>
      <w:spacing w:before="100" w:beforeAutospacing="1" w:after="100" w:afterAutospacing="1"/>
      <w:outlineLvl w:val="5"/>
    </w:pPr>
    <w:rPr>
      <w:b/>
      <w:bCs/>
      <w:sz w:val="15"/>
      <w:szCs w:val="15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0A5B"/>
    <w:pPr>
      <w:suppressAutoHyphens w:val="0"/>
    </w:pPr>
    <w:rPr>
      <w:sz w:val="24"/>
      <w:szCs w:val="24"/>
      <w:lang w:val="sr-Latn-CS" w:eastAsia="sr-Latn-CS"/>
    </w:rPr>
  </w:style>
  <w:style w:type="character" w:styleId="Emphasis">
    <w:name w:val="Emphasis"/>
    <w:qFormat/>
    <w:rsid w:val="000F1683"/>
    <w:rPr>
      <w:i/>
      <w:iCs/>
    </w:rPr>
  </w:style>
  <w:style w:type="character" w:customStyle="1" w:styleId="apple-converted-space">
    <w:name w:val="apple-converted-space"/>
    <w:basedOn w:val="DefaultParagraphFont"/>
    <w:rsid w:val="000F1683"/>
  </w:style>
  <w:style w:type="character" w:customStyle="1" w:styleId="il">
    <w:name w:val="il"/>
    <w:basedOn w:val="DefaultParagraphFont"/>
    <w:rsid w:val="000F1683"/>
  </w:style>
  <w:style w:type="character" w:styleId="Strong">
    <w:name w:val="Strong"/>
    <w:uiPriority w:val="22"/>
    <w:qFormat/>
    <w:rsid w:val="000F1683"/>
    <w:rPr>
      <w:b/>
      <w:bCs/>
    </w:rPr>
  </w:style>
  <w:style w:type="paragraph" w:styleId="FootnoteText">
    <w:name w:val="footnote text"/>
    <w:basedOn w:val="Normal"/>
    <w:link w:val="FootnoteTextChar"/>
    <w:rsid w:val="008D62AD"/>
  </w:style>
  <w:style w:type="character" w:customStyle="1" w:styleId="FootnoteTextChar">
    <w:name w:val="Footnote Text Char"/>
    <w:link w:val="FootnoteText"/>
    <w:rsid w:val="008D62AD"/>
    <w:rPr>
      <w:lang w:val="en-GB" w:eastAsia="ar-SA"/>
    </w:rPr>
  </w:style>
  <w:style w:type="character" w:styleId="FootnoteReference">
    <w:name w:val="footnote reference"/>
    <w:rsid w:val="008D62AD"/>
    <w:rPr>
      <w:vertAlign w:val="superscript"/>
    </w:rPr>
  </w:style>
  <w:style w:type="character" w:styleId="FollowedHyperlink">
    <w:name w:val="FollowedHyperlink"/>
    <w:rsid w:val="00E473D5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B0BD0"/>
    <w:rPr>
      <w:b/>
      <w:bCs/>
      <w:sz w:val="15"/>
      <w:szCs w:val="15"/>
      <w:lang/>
    </w:rPr>
  </w:style>
  <w:style w:type="paragraph" w:customStyle="1" w:styleId="Normal1">
    <w:name w:val="Normal1"/>
    <w:basedOn w:val="Normal"/>
    <w:rsid w:val="00DB0BD0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/>
    </w:rPr>
  </w:style>
  <w:style w:type="paragraph" w:customStyle="1" w:styleId="normalbold">
    <w:name w:val="normalbold"/>
    <w:basedOn w:val="Normal"/>
    <w:rsid w:val="00DB0BD0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/>
    </w:rPr>
  </w:style>
  <w:style w:type="paragraph" w:customStyle="1" w:styleId="normalbolditalic">
    <w:name w:val="normalbolditalic"/>
    <w:basedOn w:val="Normal"/>
    <w:rsid w:val="00DB0BD0"/>
    <w:pP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/>
    </w:rPr>
  </w:style>
  <w:style w:type="paragraph" w:customStyle="1" w:styleId="wyq070---podpododeljak-kurziv">
    <w:name w:val="wyq070---podpododeljak-kurziv"/>
    <w:basedOn w:val="Normal"/>
    <w:rsid w:val="00DB0BD0"/>
    <w:pPr>
      <w:suppressAutoHyphens w:val="0"/>
      <w:jc w:val="center"/>
    </w:pPr>
    <w:rPr>
      <w:rFonts w:ascii="Arial" w:hAnsi="Arial" w:cs="Arial"/>
      <w:i/>
      <w:iCs/>
      <w:sz w:val="30"/>
      <w:szCs w:val="30"/>
      <w:lang/>
    </w:rPr>
  </w:style>
  <w:style w:type="paragraph" w:customStyle="1" w:styleId="wyq090---pododsek">
    <w:name w:val="wyq090---pododsek"/>
    <w:basedOn w:val="Normal"/>
    <w:rsid w:val="00DB0BD0"/>
    <w:pPr>
      <w:suppressAutoHyphens w:val="0"/>
      <w:jc w:val="center"/>
    </w:pPr>
    <w:rPr>
      <w:rFonts w:ascii="Arial" w:hAnsi="Arial" w:cs="Arial"/>
      <w:sz w:val="28"/>
      <w:szCs w:val="28"/>
      <w:lang/>
    </w:rPr>
  </w:style>
  <w:style w:type="paragraph" w:styleId="Title">
    <w:name w:val="Title"/>
    <w:basedOn w:val="Normal"/>
    <w:next w:val="Normal"/>
    <w:link w:val="TitleChar"/>
    <w:qFormat/>
    <w:rsid w:val="000E28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E28B3"/>
    <w:rPr>
      <w:rFonts w:ascii="Cambria" w:hAnsi="Cambria"/>
      <w:b/>
      <w:bCs/>
      <w:kern w:val="28"/>
      <w:sz w:val="32"/>
      <w:szCs w:val="3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paragraph" w:styleId="Naslov6">
    <w:name w:val="heading 6"/>
    <w:basedOn w:val="Normal"/>
    <w:link w:val="Naslov6Char"/>
    <w:uiPriority w:val="9"/>
    <w:qFormat/>
    <w:rsid w:val="00DB0BD0"/>
    <w:pPr>
      <w:suppressAutoHyphens w:val="0"/>
      <w:spacing w:before="100" w:beforeAutospacing="1" w:after="100" w:afterAutospacing="1"/>
      <w:outlineLvl w:val="5"/>
    </w:pPr>
    <w:rPr>
      <w:b/>
      <w:bCs/>
      <w:sz w:val="15"/>
      <w:szCs w:val="15"/>
      <w:lang w:val="sr-Latn-RS" w:eastAsia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Podnojestranice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iperveza">
    <w:name w:val="Hyperlink"/>
    <w:uiPriority w:val="99"/>
    <w:rsid w:val="005A4E20"/>
    <w:rPr>
      <w:color w:val="0000FF"/>
      <w:u w:val="single"/>
    </w:rPr>
  </w:style>
  <w:style w:type="paragraph" w:styleId="Tekstubaloniu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0A5B"/>
    <w:pPr>
      <w:suppressAutoHyphens w:val="0"/>
    </w:pPr>
    <w:rPr>
      <w:sz w:val="24"/>
      <w:szCs w:val="24"/>
      <w:lang w:val="sr-Latn-CS" w:eastAsia="sr-Latn-CS"/>
    </w:rPr>
  </w:style>
  <w:style w:type="character" w:styleId="Naglaavanje">
    <w:name w:val="Emphasis"/>
    <w:qFormat/>
    <w:rsid w:val="000F1683"/>
    <w:rPr>
      <w:i/>
      <w:iCs/>
    </w:rPr>
  </w:style>
  <w:style w:type="character" w:customStyle="1" w:styleId="apple-converted-space">
    <w:name w:val="apple-converted-space"/>
    <w:basedOn w:val="Podrazumevanifontpasusa"/>
    <w:rsid w:val="000F1683"/>
  </w:style>
  <w:style w:type="character" w:customStyle="1" w:styleId="il">
    <w:name w:val="il"/>
    <w:basedOn w:val="Podrazumevanifontpasusa"/>
    <w:rsid w:val="000F1683"/>
  </w:style>
  <w:style w:type="character" w:styleId="Naglaeno">
    <w:name w:val="Strong"/>
    <w:uiPriority w:val="22"/>
    <w:qFormat/>
    <w:rsid w:val="000F1683"/>
    <w:rPr>
      <w:b/>
      <w:bCs/>
    </w:rPr>
  </w:style>
  <w:style w:type="paragraph" w:styleId="Tekstfusnote">
    <w:name w:val="footnote text"/>
    <w:basedOn w:val="Normal"/>
    <w:link w:val="TekstfusnoteChar"/>
    <w:rsid w:val="008D62AD"/>
  </w:style>
  <w:style w:type="character" w:customStyle="1" w:styleId="TekstfusnoteChar">
    <w:name w:val="Tekst fusnote Char"/>
    <w:link w:val="Tekstfusnote"/>
    <w:rsid w:val="008D62AD"/>
    <w:rPr>
      <w:lang w:val="en-GB" w:eastAsia="ar-SA"/>
    </w:rPr>
  </w:style>
  <w:style w:type="character" w:styleId="Referencafusnote">
    <w:name w:val="footnote reference"/>
    <w:rsid w:val="008D62AD"/>
    <w:rPr>
      <w:vertAlign w:val="superscript"/>
    </w:rPr>
  </w:style>
  <w:style w:type="character" w:styleId="Ispraenahiperveza">
    <w:name w:val="FollowedHyperlink"/>
    <w:rsid w:val="00E473D5"/>
    <w:rPr>
      <w:color w:val="800080"/>
      <w:u w:val="single"/>
    </w:rPr>
  </w:style>
  <w:style w:type="character" w:customStyle="1" w:styleId="Naslov6Char">
    <w:name w:val="Naslov 6 Char"/>
    <w:basedOn w:val="Podrazumevanifontpasusa"/>
    <w:link w:val="Naslov6"/>
    <w:uiPriority w:val="9"/>
    <w:rsid w:val="00DB0BD0"/>
    <w:rPr>
      <w:b/>
      <w:bCs/>
      <w:sz w:val="15"/>
      <w:szCs w:val="15"/>
      <w:lang w:val="sr-Latn-RS" w:eastAsia="sr-Latn-RS"/>
    </w:rPr>
  </w:style>
  <w:style w:type="paragraph" w:customStyle="1" w:styleId="Normal1">
    <w:name w:val="Normal1"/>
    <w:basedOn w:val="Normal"/>
    <w:rsid w:val="00DB0BD0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normalbold">
    <w:name w:val="normalbold"/>
    <w:basedOn w:val="Normal"/>
    <w:rsid w:val="00DB0BD0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normalbolditalic">
    <w:name w:val="normalbolditalic"/>
    <w:basedOn w:val="Normal"/>
    <w:rsid w:val="00DB0BD0"/>
    <w:pP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val="sr-Latn-RS" w:eastAsia="sr-Latn-RS"/>
    </w:rPr>
  </w:style>
  <w:style w:type="paragraph" w:customStyle="1" w:styleId="wyq070---podpododeljak-kurziv">
    <w:name w:val="wyq070---podpododeljak-kurziv"/>
    <w:basedOn w:val="Normal"/>
    <w:rsid w:val="00DB0BD0"/>
    <w:pPr>
      <w:suppressAutoHyphens w:val="0"/>
      <w:jc w:val="center"/>
    </w:pPr>
    <w:rPr>
      <w:rFonts w:ascii="Arial" w:hAnsi="Arial" w:cs="Arial"/>
      <w:i/>
      <w:iCs/>
      <w:sz w:val="30"/>
      <w:szCs w:val="30"/>
      <w:lang w:val="sr-Latn-RS" w:eastAsia="sr-Latn-RS"/>
    </w:rPr>
  </w:style>
  <w:style w:type="paragraph" w:customStyle="1" w:styleId="wyq090---pododsek">
    <w:name w:val="wyq090---pododsek"/>
    <w:basedOn w:val="Normal"/>
    <w:rsid w:val="00DB0BD0"/>
    <w:pPr>
      <w:suppressAutoHyphens w:val="0"/>
      <w:jc w:val="center"/>
    </w:pPr>
    <w:rPr>
      <w:rFonts w:ascii="Arial" w:hAnsi="Arial" w:cs="Arial"/>
      <w:sz w:val="28"/>
      <w:szCs w:val="28"/>
      <w:lang w:val="sr-Latn-RS" w:eastAsia="sr-Latn-RS"/>
    </w:rPr>
  </w:style>
  <w:style w:type="paragraph" w:styleId="Naslov">
    <w:name w:val="Title"/>
    <w:basedOn w:val="Normal"/>
    <w:next w:val="Normal"/>
    <w:link w:val="NaslovChar"/>
    <w:qFormat/>
    <w:rsid w:val="000E28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Podrazumevanifontpasusa"/>
    <w:link w:val="Naslov"/>
    <w:rsid w:val="000E28B3"/>
    <w:rPr>
      <w:rFonts w:ascii="Cambria" w:hAnsi="Cambria"/>
      <w:b/>
      <w:bCs/>
      <w:kern w:val="28"/>
      <w:sz w:val="32"/>
      <w:szCs w:val="32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1549">
              <w:blockQuote w:val="1"/>
              <w:marLeft w:val="75"/>
              <w:marRight w:val="0"/>
              <w:marTop w:val="45"/>
              <w:marBottom w:val="10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  <w:divsChild>
                <w:div w:id="3025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1300-E85F-453E-820D-225BC94E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Poštovani gospodine Vujčić,</vt:lpstr>
      <vt:lpstr>Poštovani gospodine Vujčić,</vt:lpstr>
    </vt:vector>
  </TitlesOfParts>
  <Company>Transparency Serbia</Company>
  <LinksUpToDate>false</LinksUpToDate>
  <CharactersWithSpaces>4948</CharactersWithSpaces>
  <SharedDoc>false</SharedDoc>
  <HLinks>
    <vt:vector size="18" baseType="variant"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http://goo.gl/Xb3mMr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creator>Bane</dc:creator>
  <cp:lastModifiedBy>TSwork</cp:lastModifiedBy>
  <cp:revision>2</cp:revision>
  <cp:lastPrinted>2014-10-28T08:52:00Z</cp:lastPrinted>
  <dcterms:created xsi:type="dcterms:W3CDTF">2014-11-05T08:47:00Z</dcterms:created>
  <dcterms:modified xsi:type="dcterms:W3CDTF">2014-11-05T08:47:00Z</dcterms:modified>
</cp:coreProperties>
</file>